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Профессиональное становление студента вуза</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/Шмачилина-Цибенко Светлана Витальевна/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«Профессиональное становление студента вуза»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«Профессиональное становление студента вуза».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«Профессиональное становление студента вуза»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реализовывать и исследовать процесс обучения в высшей школе на основе использования обоснованных форм, методов и приемов организации деятельности обучающихся</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возрастные особенности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соответствующие формы, методы и приемы организации образовательной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оценивать результаты освоения обучающимися основных и дополнительных профессиональных  образовательных программ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приемами создания проблемно ориентированной образовательной среды, способствующей развитию профессиональных компетенций обучающихся</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требования ФГОС к компетенциям выпускников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педагогической диагностики и условия развития ценностно- смысловой, эмоционально-волевой, потребностно-мотивационной, интеллектуальной сфер обучающихся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обеспечивать педагогическое  сопровождение формирования  и деятельности органов  студенческого самоуправления,  использовать средства формирования  и развития организационной  культуры  группы обучающих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оказывать методическую  помощь  активу группы,  мотивировать  участие обучающихся  в  разных  видах общественной  деятельности, содействовать формированию лидерских  качеств  и  нравственных ценностей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методами, формами,  приемами  и  средствами организации общения и деятельности  обучающихся  группы  с  учетом  их  возрастных  и индивидуальных особенностей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«Профессиональное становление студента вуза» относится к обязательной части, является дисциплиной Блока Б1. «Дисциплины (модули)». Модуль " Взаимодействие субъектов образовательного процесса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профессиональной деятельности преподавателя современного вуза</w:t>
            </w:r>
          </w:p>
          <w:p>
            <w:pPr>
              <w:jc w:val="center"/>
              <w:spacing w:after="0" w:line="240" w:lineRule="auto"/>
              <w:rPr>
                <w:sz w:val="22"/>
                <w:szCs w:val="22"/>
              </w:rPr>
            </w:pPr>
            <w:r>
              <w:rPr>
                <w:rFonts w:ascii="Times New Roman" w:hAnsi="Times New Roman" w:cs="Times New Roman"/>
                <w:color w:val="#000000"/>
                <w:sz w:val="22"/>
                <w:szCs w:val="22"/>
              </w:rPr>
              <w:t> Педагогическое проектирование и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w:t>
            </w:r>
          </w:p>
          <w:p>
            <w:pPr>
              <w:jc w:val="center"/>
              <w:spacing w:after="0" w:line="240" w:lineRule="auto"/>
              <w:rPr>
                <w:sz w:val="22"/>
                <w:szCs w:val="22"/>
              </w:rPr>
            </w:pPr>
            <w:r>
              <w:rPr>
                <w:rFonts w:ascii="Times New Roman" w:hAnsi="Times New Roman" w:cs="Times New Roman"/>
                <w:color w:val="#000000"/>
                <w:sz w:val="22"/>
                <w:szCs w:val="22"/>
              </w:rPr>
              <w:t> Ценностно-целевые ориентиры современного воспитания</w:t>
            </w:r>
          </w:p>
          <w:p>
            <w:pPr>
              <w:jc w:val="center"/>
              <w:spacing w:after="0" w:line="240" w:lineRule="auto"/>
              <w:rPr>
                <w:sz w:val="22"/>
                <w:szCs w:val="22"/>
              </w:rPr>
            </w:pPr>
            <w:r>
              <w:rPr>
                <w:rFonts w:ascii="Times New Roman" w:hAnsi="Times New Roman" w:cs="Times New Roman"/>
                <w:color w:val="#000000"/>
                <w:sz w:val="22"/>
                <w:szCs w:val="22"/>
              </w:rPr>
              <w:t> Инновационные процессы в образовании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образовательной деятельности студента</w:t>
            </w:r>
          </w:p>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студентов с особыми потребностями</w:t>
            </w:r>
          </w:p>
          <w:p>
            <w:pPr>
              <w:jc w:val="center"/>
              <w:spacing w:after="0" w:line="240" w:lineRule="auto"/>
              <w:rPr>
                <w:sz w:val="22"/>
                <w:szCs w:val="22"/>
              </w:rPr>
            </w:pPr>
            <w:r>
              <w:rPr>
                <w:rFonts w:ascii="Times New Roman" w:hAnsi="Times New Roman" w:cs="Times New Roman"/>
                <w:color w:val="#000000"/>
                <w:sz w:val="22"/>
                <w:szCs w:val="22"/>
              </w:rPr>
              <w:t> Самостоятельная учебная и научно- исследовательская работа студента</w:t>
            </w:r>
          </w:p>
          <w:p>
            <w:pPr>
              <w:jc w:val="center"/>
              <w:spacing w:after="0" w:line="240" w:lineRule="auto"/>
              <w:rPr>
                <w:sz w:val="22"/>
                <w:szCs w:val="22"/>
              </w:rPr>
            </w:pPr>
            <w:r>
              <w:rPr>
                <w:rFonts w:ascii="Times New Roman" w:hAnsi="Times New Roman" w:cs="Times New Roman"/>
                <w:color w:val="#000000"/>
                <w:sz w:val="22"/>
                <w:szCs w:val="22"/>
              </w:rPr>
              <w:t> Современные системы оценки качества образования</w:t>
            </w:r>
          </w:p>
          <w:p>
            <w:pPr>
              <w:jc w:val="center"/>
              <w:spacing w:after="0" w:line="240" w:lineRule="auto"/>
              <w:rPr>
                <w:sz w:val="22"/>
                <w:szCs w:val="22"/>
              </w:rPr>
            </w:pPr>
            <w:r>
              <w:rPr>
                <w:rFonts w:ascii="Times New Roman" w:hAnsi="Times New Roman" w:cs="Times New Roman"/>
                <w:color w:val="#000000"/>
                <w:sz w:val="22"/>
                <w:szCs w:val="22"/>
              </w:rPr>
              <w:t> Технологии взаимодействия субъектов образовательного процесс 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ПК-4,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развития личности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Тема№2. Типология личности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Адаптации личности студента и ее последствия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Кризисы профессионального становления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Круглый стол. Организационные формы обучения в вузе.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Дидактические возможности применения в вузе методов и средств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Инструментарий формирования общекультурных компетенций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Контроль и оценка знаний, умений и навыков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Круглый стол. Профессиональное воспитание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44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развития личности студента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Взаимосвязь понятий индивид, индивидуальность, личность в процессе социализации студента. Понятие «студент». Трехаспектая характеристику студента как индивида. Этапы личного развития студента. Модернизация мотивации. Отличительные черты нравственного и морального становления этого периода. Кризис идентичности. Четыре этапа развития идентичности по Джеймс Маршу. Влияние выбора профессии на развитие личности индивида. Профессиограмма и ее использование.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Тема№2. Типология личности студента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Личность с точки зрения психологии. Типология личности. Типы темперамента Типы акцентуации характера. Личность студента. Три возрастные стороны характеристики личности студента. Личные возможности и особенности студента. Типология личности студента. Анализ типов личности студента. Основные приоритеты студенческой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Адаптации личности студента и ее последствия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адаптации личности студента. Освоение специфики обучения в высшем учебном заведении. Трудности первокурсников. Виды социальной адаптации студентов в вузе. Три формы адаптации у студентов первокурсников. Направления развития индивида как личности с высшим образованием. Показатели адаптации личности студента. Структура адаптации студента к вузу. Этапы вузовской адаптации. Уровни адаптированности студентов первокурсников.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Кризисы профессионального становления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профессионального становления личности (ПСЛ). Понятия профессиональное становление, профессиональное развитие и профессионализация личности. Эвристическая модель профессионально-образовательного пространства. Периоды или стадии профессионального становления. Классификационные признаки периодизации профессионализации. Периодизация жизненного пути профессионала по Е.А. Климову. Периодизация профессионального становления по Э.Ф. Зееру. Характеристика кризисов профессионального становления. Нормативные кризисы профессионального становления.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Круглый стол. Организационные формы обучения в вузе.</w:t>
            </w:r>
          </w:p>
        </w:tc>
      </w:tr>
      <w:tr>
        <w:trPr>
          <w:trHeight w:hRule="exact" w:val="21.31518"/>
        </w:trPr>
        <w:tc>
          <w:tcPr>
            <w:tcW w:w="9640" w:type="dxa"/>
          </w:tcPr>
          <w:p/>
        </w:tc>
      </w:tr>
      <w:tr>
        <w:trPr>
          <w:trHeight w:hRule="exact" w:val="1207.3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Типы лекционных занятий в вузе (по М. Я. Виленскому).</w:t>
            </w:r>
          </w:p>
          <w:p>
            <w:pPr>
              <w:jc w:val="left"/>
              <w:spacing w:after="0" w:line="240" w:lineRule="auto"/>
              <w:rPr>
                <w:sz w:val="24"/>
                <w:szCs w:val="24"/>
              </w:rPr>
            </w:pPr>
            <w:r>
              <w:rPr>
                <w:rFonts w:ascii="Times New Roman" w:hAnsi="Times New Roman" w:cs="Times New Roman"/>
                <w:color w:val="#000000"/>
                <w:sz w:val="24"/>
                <w:szCs w:val="24"/>
              </w:rPr>
              <w:t> 2.	Нетрадиционные виды лекций.</w:t>
            </w:r>
          </w:p>
          <w:p>
            <w:pPr>
              <w:jc w:val="left"/>
              <w:spacing w:after="0" w:line="240" w:lineRule="auto"/>
              <w:rPr>
                <w:sz w:val="24"/>
                <w:szCs w:val="24"/>
              </w:rPr>
            </w:pPr>
            <w:r>
              <w:rPr>
                <w:rFonts w:ascii="Times New Roman" w:hAnsi="Times New Roman" w:cs="Times New Roman"/>
                <w:color w:val="#000000"/>
                <w:sz w:val="24"/>
                <w:szCs w:val="24"/>
              </w:rPr>
              <w:t> 3.	Некоторые средства, повышающие качество лекции (по Л. Е. Туминой).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Оценка качества лекционного занятия (по Т. А. Ильиной).</w:t>
            </w:r>
          </w:p>
          <w:p>
            <w:pPr>
              <w:jc w:val="left"/>
              <w:spacing w:after="0" w:line="240" w:lineRule="auto"/>
              <w:rPr>
                <w:sz w:val="24"/>
                <w:szCs w:val="24"/>
              </w:rPr>
            </w:pPr>
            <w:r>
              <w:rPr>
                <w:rFonts w:ascii="Times New Roman" w:hAnsi="Times New Roman" w:cs="Times New Roman"/>
                <w:color w:val="#000000"/>
                <w:sz w:val="24"/>
                <w:szCs w:val="24"/>
              </w:rPr>
              <w:t> 5.	Типы семинаров в вузовской практике (по В. М. Ковалевой и В. В. Шпалинско-му).</w:t>
            </w:r>
          </w:p>
          <w:p>
            <w:pPr>
              <w:jc w:val="left"/>
              <w:spacing w:after="0" w:line="240" w:lineRule="auto"/>
              <w:rPr>
                <w:sz w:val="24"/>
                <w:szCs w:val="24"/>
              </w:rPr>
            </w:pPr>
            <w:r>
              <w:rPr>
                <w:rFonts w:ascii="Times New Roman" w:hAnsi="Times New Roman" w:cs="Times New Roman"/>
                <w:color w:val="#000000"/>
                <w:sz w:val="24"/>
                <w:szCs w:val="24"/>
              </w:rPr>
              <w:t> 6.	Разновидности семинарских занятий в высшей школе. Особенности проведении</w:t>
            </w:r>
          </w:p>
          <w:p>
            <w:pPr>
              <w:jc w:val="left"/>
              <w:spacing w:after="0" w:line="240" w:lineRule="auto"/>
              <w:rPr>
                <w:sz w:val="24"/>
                <w:szCs w:val="24"/>
              </w:rPr>
            </w:pPr>
            <w:r>
              <w:rPr>
                <w:rFonts w:ascii="Times New Roman" w:hAnsi="Times New Roman" w:cs="Times New Roman"/>
                <w:color w:val="#000000"/>
                <w:sz w:val="24"/>
                <w:szCs w:val="24"/>
              </w:rPr>
              <w:t> 7.	Оценка качества семинарского занятия.</w:t>
            </w:r>
          </w:p>
          <w:p>
            <w:pPr>
              <w:jc w:val="left"/>
              <w:spacing w:after="0" w:line="240" w:lineRule="auto"/>
              <w:rPr>
                <w:sz w:val="24"/>
                <w:szCs w:val="24"/>
              </w:rPr>
            </w:pPr>
            <w:r>
              <w:rPr>
                <w:rFonts w:ascii="Times New Roman" w:hAnsi="Times New Roman" w:cs="Times New Roman"/>
                <w:color w:val="#000000"/>
                <w:sz w:val="24"/>
                <w:szCs w:val="24"/>
              </w:rPr>
              <w:t> 8.	Рекомендации по проведению семинарских занятий</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Дидактические возможности применения в вузе методов и средств обучения</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Классификация и содержание методов обучения.</w:t>
            </w:r>
          </w:p>
          <w:p>
            <w:pPr>
              <w:jc w:val="left"/>
              <w:spacing w:after="0" w:line="240" w:lineRule="auto"/>
              <w:rPr>
                <w:sz w:val="24"/>
                <w:szCs w:val="24"/>
              </w:rPr>
            </w:pPr>
            <w:r>
              <w:rPr>
                <w:rFonts w:ascii="Times New Roman" w:hAnsi="Times New Roman" w:cs="Times New Roman"/>
                <w:color w:val="#000000"/>
                <w:sz w:val="24"/>
                <w:szCs w:val="24"/>
              </w:rPr>
              <w:t> 2.	Классификация методов обучения по характеру познавательной деятельности обучающихся.</w:t>
            </w:r>
          </w:p>
          <w:p>
            <w:pPr>
              <w:jc w:val="left"/>
              <w:spacing w:after="0" w:line="240" w:lineRule="auto"/>
              <w:rPr>
                <w:sz w:val="24"/>
                <w:szCs w:val="24"/>
              </w:rPr>
            </w:pPr>
            <w:r>
              <w:rPr>
                <w:rFonts w:ascii="Times New Roman" w:hAnsi="Times New Roman" w:cs="Times New Roman"/>
                <w:color w:val="#000000"/>
                <w:sz w:val="24"/>
                <w:szCs w:val="24"/>
              </w:rPr>
              <w:t> 3.	Классификация методов обучения по уровню активности обучающихся.</w:t>
            </w:r>
          </w:p>
          <w:p>
            <w:pPr>
              <w:jc w:val="left"/>
              <w:spacing w:after="0" w:line="240" w:lineRule="auto"/>
              <w:rPr>
                <w:sz w:val="24"/>
                <w:szCs w:val="24"/>
              </w:rPr>
            </w:pPr>
            <w:r>
              <w:rPr>
                <w:rFonts w:ascii="Times New Roman" w:hAnsi="Times New Roman" w:cs="Times New Roman"/>
                <w:color w:val="#000000"/>
                <w:sz w:val="24"/>
                <w:szCs w:val="24"/>
              </w:rPr>
              <w:t> 4.	Классификация методов обучения на основе целостного подхода к процессу обу-чения.</w:t>
            </w:r>
          </w:p>
          <w:p>
            <w:pPr>
              <w:jc w:val="left"/>
              <w:spacing w:after="0" w:line="240" w:lineRule="auto"/>
              <w:rPr>
                <w:sz w:val="24"/>
                <w:szCs w:val="24"/>
              </w:rPr>
            </w:pPr>
            <w:r>
              <w:rPr>
                <w:rFonts w:ascii="Times New Roman" w:hAnsi="Times New Roman" w:cs="Times New Roman"/>
                <w:color w:val="#000000"/>
                <w:sz w:val="24"/>
                <w:szCs w:val="24"/>
              </w:rPr>
              <w:t> 5.	Классификация и характеристика средств обучения. Выбор методов и средств обучения.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Инструментарий формирования общекультурных компетенций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Организация самостоятельной работы студентов.</w:t>
            </w:r>
          </w:p>
          <w:p>
            <w:pPr>
              <w:jc w:val="left"/>
              <w:spacing w:after="0" w:line="240" w:lineRule="auto"/>
              <w:rPr>
                <w:sz w:val="24"/>
                <w:szCs w:val="24"/>
              </w:rPr>
            </w:pPr>
            <w:r>
              <w:rPr>
                <w:rFonts w:ascii="Times New Roman" w:hAnsi="Times New Roman" w:cs="Times New Roman"/>
                <w:color w:val="#000000"/>
                <w:sz w:val="24"/>
                <w:szCs w:val="24"/>
              </w:rPr>
              <w:t> 2.	 Развитие креативности.</w:t>
            </w:r>
          </w:p>
          <w:p>
            <w:pPr>
              <w:jc w:val="left"/>
              <w:spacing w:after="0" w:line="240" w:lineRule="auto"/>
              <w:rPr>
                <w:sz w:val="24"/>
                <w:szCs w:val="24"/>
              </w:rPr>
            </w:pPr>
            <w:r>
              <w:rPr>
                <w:rFonts w:ascii="Times New Roman" w:hAnsi="Times New Roman" w:cs="Times New Roman"/>
                <w:color w:val="#000000"/>
                <w:sz w:val="24"/>
                <w:szCs w:val="24"/>
              </w:rPr>
              <w:t> 3.	 Формирование коммуникативной культуры.</w:t>
            </w:r>
          </w:p>
          <w:p>
            <w:pPr>
              <w:jc w:val="left"/>
              <w:spacing w:after="0" w:line="240" w:lineRule="auto"/>
              <w:rPr>
                <w:sz w:val="24"/>
                <w:szCs w:val="24"/>
              </w:rPr>
            </w:pPr>
            <w:r>
              <w:rPr>
                <w:rFonts w:ascii="Times New Roman" w:hAnsi="Times New Roman" w:cs="Times New Roman"/>
                <w:color w:val="#000000"/>
                <w:sz w:val="24"/>
                <w:szCs w:val="24"/>
              </w:rPr>
              <w:t> 4.	Здоровьесбережение в образовательном процессе.</w:t>
            </w:r>
          </w:p>
          <w:p>
            <w:pPr>
              <w:jc w:val="left"/>
              <w:spacing w:after="0" w:line="240" w:lineRule="auto"/>
              <w:rPr>
                <w:sz w:val="24"/>
                <w:szCs w:val="24"/>
              </w:rPr>
            </w:pPr>
            <w:r>
              <w:rPr>
                <w:rFonts w:ascii="Times New Roman" w:hAnsi="Times New Roman" w:cs="Times New Roman"/>
                <w:color w:val="#000000"/>
                <w:sz w:val="24"/>
                <w:szCs w:val="24"/>
              </w:rPr>
              <w:t> 5.	Организация учебно-исследовательской работы студентов.</w:t>
            </w:r>
          </w:p>
          <w:p>
            <w:pPr>
              <w:jc w:val="left"/>
              <w:spacing w:after="0" w:line="240" w:lineRule="auto"/>
              <w:rPr>
                <w:sz w:val="24"/>
                <w:szCs w:val="24"/>
              </w:rPr>
            </w:pPr>
            <w:r>
              <w:rPr>
                <w:rFonts w:ascii="Times New Roman" w:hAnsi="Times New Roman" w:cs="Times New Roman"/>
                <w:color w:val="#000000"/>
                <w:sz w:val="24"/>
                <w:szCs w:val="24"/>
              </w:rPr>
              <w:t> 6.	Педагогическая квалиметрия сопровождения деятельности преподавателя.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Контроль и оценка знаний, умений и навыков студентов</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Традиционные формы контроля знаний, умений и навыков студентов в условиях компетентностного подхода.</w:t>
            </w:r>
          </w:p>
          <w:p>
            <w:pPr>
              <w:jc w:val="left"/>
              <w:spacing w:after="0" w:line="240" w:lineRule="auto"/>
              <w:rPr>
                <w:sz w:val="24"/>
                <w:szCs w:val="24"/>
              </w:rPr>
            </w:pPr>
            <w:r>
              <w:rPr>
                <w:rFonts w:ascii="Times New Roman" w:hAnsi="Times New Roman" w:cs="Times New Roman"/>
                <w:color w:val="#000000"/>
                <w:sz w:val="24"/>
                <w:szCs w:val="24"/>
              </w:rPr>
              <w:t> 2.	Инновационный подход к контролю знаний, умений и навыков студентов.</w:t>
            </w:r>
          </w:p>
          <w:p>
            <w:pPr>
              <w:jc w:val="left"/>
              <w:spacing w:after="0" w:line="240" w:lineRule="auto"/>
              <w:rPr>
                <w:sz w:val="24"/>
                <w:szCs w:val="24"/>
              </w:rPr>
            </w:pPr>
            <w:r>
              <w:rPr>
                <w:rFonts w:ascii="Times New Roman" w:hAnsi="Times New Roman" w:cs="Times New Roman"/>
                <w:color w:val="#000000"/>
                <w:sz w:val="24"/>
                <w:szCs w:val="24"/>
              </w:rPr>
              <w:t> 3.	Оригинальные разработки систем контроля учебных достижений студентов.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Круглый стол. Профессиональное воспитание студентов</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Теории воспитания и формы воспитательного процесса.</w:t>
            </w:r>
          </w:p>
          <w:p>
            <w:pPr>
              <w:jc w:val="left"/>
              <w:spacing w:after="0" w:line="240" w:lineRule="auto"/>
              <w:rPr>
                <w:sz w:val="24"/>
                <w:szCs w:val="24"/>
              </w:rPr>
            </w:pPr>
            <w:r>
              <w:rPr>
                <w:rFonts w:ascii="Times New Roman" w:hAnsi="Times New Roman" w:cs="Times New Roman"/>
                <w:color w:val="#000000"/>
                <w:sz w:val="24"/>
                <w:szCs w:val="24"/>
              </w:rPr>
              <w:t> 2.	Методы воспитания.</w:t>
            </w:r>
          </w:p>
          <w:p>
            <w:pPr>
              <w:jc w:val="left"/>
              <w:spacing w:after="0" w:line="240" w:lineRule="auto"/>
              <w:rPr>
                <w:sz w:val="24"/>
                <w:szCs w:val="24"/>
              </w:rPr>
            </w:pPr>
            <w:r>
              <w:rPr>
                <w:rFonts w:ascii="Times New Roman" w:hAnsi="Times New Roman" w:cs="Times New Roman"/>
                <w:color w:val="#000000"/>
                <w:sz w:val="24"/>
                <w:szCs w:val="24"/>
              </w:rPr>
              <w:t> 3.	Воспитательная среда вуза. Профессиональная воспитанность студентов.</w:t>
            </w:r>
          </w:p>
          <w:p>
            <w:pPr>
              <w:jc w:val="left"/>
              <w:spacing w:after="0" w:line="240" w:lineRule="auto"/>
              <w:rPr>
                <w:sz w:val="24"/>
                <w:szCs w:val="24"/>
              </w:rPr>
            </w:pPr>
            <w:r>
              <w:rPr>
                <w:rFonts w:ascii="Times New Roman" w:hAnsi="Times New Roman" w:cs="Times New Roman"/>
                <w:color w:val="#000000"/>
                <w:sz w:val="24"/>
                <w:szCs w:val="24"/>
              </w:rPr>
              <w:t> 4.	Модель системы профессионального воспитания студентов.</w:t>
            </w:r>
          </w:p>
          <w:p>
            <w:pPr>
              <w:jc w:val="left"/>
              <w:spacing w:after="0" w:line="240" w:lineRule="auto"/>
              <w:rPr>
                <w:sz w:val="24"/>
                <w:szCs w:val="24"/>
              </w:rPr>
            </w:pPr>
            <w:r>
              <w:rPr>
                <w:rFonts w:ascii="Times New Roman" w:hAnsi="Times New Roman" w:cs="Times New Roman"/>
                <w:color w:val="#000000"/>
                <w:sz w:val="24"/>
                <w:szCs w:val="24"/>
              </w:rPr>
              <w:t> 5.	Педагогические условия профессионального воспитания студентов вуза.</w:t>
            </w:r>
          </w:p>
          <w:p>
            <w:pPr>
              <w:jc w:val="left"/>
              <w:spacing w:after="0" w:line="240" w:lineRule="auto"/>
              <w:rPr>
                <w:sz w:val="24"/>
                <w:szCs w:val="24"/>
              </w:rPr>
            </w:pPr>
            <w:r>
              <w:rPr>
                <w:rFonts w:ascii="Times New Roman" w:hAnsi="Times New Roman" w:cs="Times New Roman"/>
                <w:color w:val="#000000"/>
                <w:sz w:val="24"/>
                <w:szCs w:val="24"/>
              </w:rPr>
              <w:t> 6.	Модель процесса формирования профессиональной компетентности у будущих педагогов.</w:t>
            </w:r>
          </w:p>
          <w:p>
            <w:pPr>
              <w:jc w:val="left"/>
              <w:spacing w:after="0" w:line="240" w:lineRule="auto"/>
              <w:rPr>
                <w:sz w:val="24"/>
                <w:szCs w:val="24"/>
              </w:rPr>
            </w:pPr>
            <w:r>
              <w:rPr>
                <w:rFonts w:ascii="Times New Roman" w:hAnsi="Times New Roman" w:cs="Times New Roman"/>
                <w:color w:val="#000000"/>
                <w:sz w:val="24"/>
                <w:szCs w:val="24"/>
              </w:rPr>
              <w:t> 7.	 Социализация и профессиональное воспитание в высшей школе.</w:t>
            </w:r>
          </w:p>
          <w:p>
            <w:pPr>
              <w:jc w:val="left"/>
              <w:spacing w:after="0" w:line="240" w:lineRule="auto"/>
              <w:rPr>
                <w:sz w:val="24"/>
                <w:szCs w:val="24"/>
              </w:rPr>
            </w:pPr>
            <w:r>
              <w:rPr>
                <w:rFonts w:ascii="Times New Roman" w:hAnsi="Times New Roman" w:cs="Times New Roman"/>
                <w:color w:val="#000000"/>
                <w:sz w:val="24"/>
                <w:szCs w:val="24"/>
              </w:rPr>
              <w:t> 8.	Куратор студенческой группы.</w:t>
            </w:r>
          </w:p>
          <w:p>
            <w:pPr>
              <w:jc w:val="left"/>
              <w:spacing w:after="0" w:line="240" w:lineRule="auto"/>
              <w:rPr>
                <w:sz w:val="24"/>
                <w:szCs w:val="24"/>
              </w:rPr>
            </w:pPr>
            <w:r>
              <w:rPr>
                <w:rFonts w:ascii="Times New Roman" w:hAnsi="Times New Roman" w:cs="Times New Roman"/>
                <w:color w:val="#000000"/>
                <w:sz w:val="24"/>
                <w:szCs w:val="24"/>
              </w:rPr>
              <w:t> 9.	Студенческая группа в воспитательной системе вуза.</w:t>
            </w:r>
          </w:p>
          <w:p>
            <w:pPr>
              <w:jc w:val="left"/>
              <w:spacing w:after="0" w:line="240" w:lineRule="auto"/>
              <w:rPr>
                <w:sz w:val="24"/>
                <w:szCs w:val="24"/>
              </w:rPr>
            </w:pPr>
            <w:r>
              <w:rPr>
                <w:rFonts w:ascii="Times New Roman" w:hAnsi="Times New Roman" w:cs="Times New Roman"/>
                <w:color w:val="#000000"/>
                <w:sz w:val="24"/>
                <w:szCs w:val="24"/>
              </w:rPr>
              <w:t> 10.	Студенческое самоуправление.</w:t>
            </w:r>
          </w:p>
          <w:p>
            <w:pPr>
              <w:jc w:val="left"/>
              <w:spacing w:after="0" w:line="240" w:lineRule="auto"/>
              <w:rPr>
                <w:sz w:val="24"/>
                <w:szCs w:val="24"/>
              </w:rPr>
            </w:pPr>
            <w:r>
              <w:rPr>
                <w:rFonts w:ascii="Times New Roman" w:hAnsi="Times New Roman" w:cs="Times New Roman"/>
                <w:color w:val="#000000"/>
                <w:sz w:val="24"/>
                <w:szCs w:val="24"/>
              </w:rPr>
              <w:t> 11.	Тьюторское сопровождение студента вуза.</w:t>
            </w:r>
          </w:p>
          <w:p>
            <w:pPr>
              <w:jc w:val="left"/>
              <w:spacing w:after="0" w:line="240" w:lineRule="auto"/>
              <w:rPr>
                <w:sz w:val="24"/>
                <w:szCs w:val="24"/>
              </w:rPr>
            </w:pPr>
            <w:r>
              <w:rPr>
                <w:rFonts w:ascii="Times New Roman" w:hAnsi="Times New Roman" w:cs="Times New Roman"/>
                <w:color w:val="#000000"/>
                <w:sz w:val="24"/>
                <w:szCs w:val="24"/>
              </w:rPr>
              <w:t> 12.	Воспитательные технологии в деятельности куратора студенческой группы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«Профессиональное становление студента вуза» / Шмачилина-Цибенко Светлана Витальевна.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дидактики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https://urait.ru/bcode/449587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http://www.iprbookshop.ru/99402.html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форма</w:t>
            </w:r>
            <w:r>
              <w:rPr/>
              <w:t xml:space="preserve"> </w:t>
            </w:r>
            <w:r>
              <w:rPr>
                <w:rFonts w:ascii="Times New Roman" w:hAnsi="Times New Roman" w:cs="Times New Roman"/>
                <w:color w:val="#000000"/>
                <w:sz w:val="24"/>
                <w:szCs w:val="24"/>
              </w:rPr>
              <w:t>психолого-педагогического</w:t>
            </w:r>
            <w:r>
              <w:rPr/>
              <w:t xml:space="preserve"> </w:t>
            </w:r>
            <w:r>
              <w:rPr>
                <w:rFonts w:ascii="Times New Roman" w:hAnsi="Times New Roman" w:cs="Times New Roman"/>
                <w:color w:val="#000000"/>
                <w:sz w:val="24"/>
                <w:szCs w:val="24"/>
              </w:rPr>
              <w:t>сопровождения</w:t>
            </w:r>
            <w:r>
              <w:rPr/>
              <w:t xml:space="preserve"> </w:t>
            </w:r>
            <w:r>
              <w:rPr>
                <w:rFonts w:ascii="Times New Roman" w:hAnsi="Times New Roman" w:cs="Times New Roman"/>
                <w:color w:val="#000000"/>
                <w:sz w:val="24"/>
                <w:szCs w:val="24"/>
              </w:rPr>
              <w:t>адаптации</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вузе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Глотова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Грошева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Николаичева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http://www.iprbookshop.ru/75039.html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Усачева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https://urait.ru/bcode/454848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98.6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2023-2024_ФГОС3++2023_Маг-ЗФО-ПО(Иннов)(23)_plx_Профессиональное становление студента вуза</dc:title>
  <dc:creator>FastReport.NET</dc:creator>
</cp:coreProperties>
</file>